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A7FB8" w14:textId="77777777" w:rsidR="002067FB" w:rsidRPr="00A22FF6" w:rsidRDefault="008B4844" w:rsidP="00A22FF6">
      <w:pPr>
        <w:pStyle w:val="berschrift1"/>
        <w:rPr>
          <w:rFonts w:cs="Arial"/>
        </w:rPr>
      </w:pPr>
      <w:r>
        <w:t>Soluciones</w:t>
      </w:r>
      <w:r>
        <w:br/>
        <w:t>Modelo 1 de los sistemas de transmisión – Balanza (palanca)</w:t>
      </w:r>
    </w:p>
    <w:p w14:paraId="0952649A" w14:textId="77777777" w:rsidR="002067FB" w:rsidRPr="003E4449" w:rsidRDefault="005A19AC" w:rsidP="00E8187C">
      <w:pPr>
        <w:pStyle w:val="Abstract"/>
        <w:rPr>
          <w:rFonts w:ascii="Arial" w:hAnsi="Arial" w:cs="Arial"/>
        </w:rPr>
      </w:pPr>
      <w:r>
        <w:rPr>
          <w:rFonts w:ascii="Arial" w:hAnsi="Arial"/>
        </w:rPr>
        <w:t>Para cada tarea se proporciona al alumnado un manual de instrucciones (véase anexo) destinado a ayudar en la construcción y la resolución de las tareas. En aquellas tareas en las que es de utilidad, será indicado al inicio de la respectiva hoja de soluciones.</w:t>
      </w:r>
    </w:p>
    <w:p w14:paraId="38EA289C" w14:textId="77777777" w:rsidR="001A3217" w:rsidRDefault="001A3217" w:rsidP="001A3217">
      <w:pPr>
        <w:rPr>
          <w:rFonts w:ascii="Arial" w:hAnsi="Arial" w:cs="Arial"/>
          <w:noProof/>
        </w:rPr>
      </w:pPr>
      <w:r>
        <w:rPr>
          <w:rFonts w:ascii="Arial" w:hAnsi="Arial"/>
        </w:rPr>
        <w:t>Se entrega al alumnado una copia de las escalas de medición para recortar.</w:t>
      </w:r>
    </w:p>
    <w:p w14:paraId="0A24B926" w14:textId="77777777" w:rsidR="00A22FF6" w:rsidRDefault="00A22FF6" w:rsidP="001A3217">
      <w:pPr>
        <w:rPr>
          <w:rFonts w:ascii="Arial" w:hAnsi="Arial" w:cs="Arial"/>
          <w:noProof/>
        </w:rPr>
      </w:pPr>
    </w:p>
    <w:p w14:paraId="3DDF9D6E" w14:textId="77777777" w:rsidR="008B4844" w:rsidRPr="003E4449" w:rsidRDefault="00A903D1" w:rsidP="00CC6F83">
      <w:pPr>
        <w:pStyle w:val="berschrift2"/>
        <w:rPr>
          <w:rFonts w:cs="Arial"/>
        </w:rPr>
      </w:pPr>
      <w:r>
        <w:t>Tarea temática</w:t>
      </w:r>
    </w:p>
    <w:p w14:paraId="46A74865" w14:textId="77777777" w:rsidR="00A903D1" w:rsidRDefault="00A903D1" w:rsidP="003935B8">
      <w:pPr>
        <w:rPr>
          <w:rFonts w:ascii="Arial" w:hAnsi="Arial" w:cs="Arial"/>
          <w:noProof/>
        </w:rPr>
      </w:pPr>
      <w:r>
        <w:rPr>
          <w:rFonts w:ascii="Arial" w:hAnsi="Arial"/>
        </w:rPr>
        <w:t xml:space="preserve">La balanza se puede calibrar con cualquier «peso unitario». Las marcas en la escala se deben distribuir en líneas parciales seleccionadas de forma apropiada. </w:t>
      </w:r>
    </w:p>
    <w:p w14:paraId="1A9136D1" w14:textId="77777777" w:rsidR="00A903D1" w:rsidRDefault="00445D20" w:rsidP="00445D20">
      <w:pPr>
        <w:rPr>
          <w:rFonts w:ascii="Arial" w:hAnsi="Arial" w:cs="Arial"/>
        </w:rPr>
      </w:pPr>
      <w:r>
        <w:rPr>
          <w:rFonts w:ascii="Arial" w:hAnsi="Arial"/>
        </w:rPr>
        <w:t>1. La distancia entre las líneas debe ser uniforme, dado que el contrapeso se desplazará de forma directamente proporcional con el aumento del peso en la base colgante. La distancia entre dos marcas de 10 g debería ser aproximadamente de 5 cm.</w:t>
      </w:r>
    </w:p>
    <w:p w14:paraId="4FF0A786" w14:textId="77777777" w:rsidR="00A903D1" w:rsidRDefault="00445D20" w:rsidP="003935B8">
      <w:pPr>
        <w:rPr>
          <w:rFonts w:ascii="Arial" w:hAnsi="Arial" w:cs="Arial"/>
        </w:rPr>
      </w:pPr>
      <w:r>
        <w:rPr>
          <w:rFonts w:ascii="Arial" w:hAnsi="Arial"/>
        </w:rPr>
        <w:t>2. Como máximo, la balanza puede pesar poco más de 35 g.</w:t>
      </w:r>
    </w:p>
    <w:p w14:paraId="5E5790FA" w14:textId="77777777" w:rsidR="00A903D1" w:rsidRDefault="00445D20" w:rsidP="00A903D1">
      <w:pPr>
        <w:rPr>
          <w:rFonts w:ascii="Arial" w:hAnsi="Arial" w:cs="Arial"/>
        </w:rPr>
      </w:pPr>
      <w:r>
        <w:rPr>
          <w:rFonts w:ascii="Arial" w:hAnsi="Arial"/>
        </w:rPr>
        <w:t>3. Cuando la balanza está en equilibrio, es decir que la barra está en posición horizontal y el indicador de la balanza se halla en la punta del bloque angular rojo, los pares de giro a la derecha y a la izquierda del eje coinciden.</w:t>
      </w:r>
    </w:p>
    <w:p w14:paraId="6061A3BB" w14:textId="77777777" w:rsidR="00A22FF6" w:rsidRPr="003E4449" w:rsidRDefault="00A22FF6" w:rsidP="00A903D1">
      <w:pPr>
        <w:rPr>
          <w:rFonts w:ascii="Arial" w:hAnsi="Arial" w:cs="Arial"/>
        </w:rPr>
      </w:pPr>
    </w:p>
    <w:p w14:paraId="1CD31FC4" w14:textId="77777777" w:rsidR="00E1562C" w:rsidRPr="003E4449" w:rsidRDefault="00E1562C" w:rsidP="00CC6F83">
      <w:pPr>
        <w:pStyle w:val="berschrift2"/>
        <w:rPr>
          <w:rFonts w:cs="Arial"/>
        </w:rPr>
      </w:pPr>
      <w:r>
        <w:t>Tarea experimental</w:t>
      </w:r>
    </w:p>
    <w:p w14:paraId="6A766C15" w14:textId="77777777" w:rsidR="002067FB" w:rsidRDefault="00C1655E" w:rsidP="00445D20">
      <w:pPr>
        <w:rPr>
          <w:rFonts w:ascii="Arial" w:hAnsi="Arial" w:cs="Arial"/>
        </w:rPr>
      </w:pPr>
      <w:r>
        <w:rPr>
          <w:rFonts w:ascii="Arial" w:hAnsi="Arial"/>
        </w:rPr>
        <w:t>1. El rango de medición de la balanza puede duplicarse al duplicar la longitud del lado derecho de la balanza en la imagen, o al acortar a la mitad el lado izquierdo. Por último, se puede duplicar el contrapeso deslizante en el costado derecho de la balanza.</w:t>
      </w:r>
    </w:p>
    <w:p w14:paraId="5C1D3F37" w14:textId="77777777" w:rsidR="00445D20" w:rsidRPr="003E4449" w:rsidRDefault="00445D20" w:rsidP="00445D20">
      <w:pPr>
        <w:rPr>
          <w:rFonts w:ascii="Arial" w:hAnsi="Arial" w:cs="Arial"/>
        </w:rPr>
      </w:pPr>
      <w:r>
        <w:rPr>
          <w:rFonts w:ascii="Arial" w:hAnsi="Arial"/>
        </w:rPr>
        <w:t>2. Para una mayor precisión de la balanza, se debe utilizar un contrapeso más pequeño o prolongar el costado izquierdo de la balanza. Para saber el rango de medición, se debe prolongar el costado derecho de la balanza de forma correspondiente.</w:t>
      </w:r>
    </w:p>
    <w:p w14:paraId="690EF5CC" w14:textId="77777777" w:rsidR="00445D20" w:rsidRDefault="00445D20">
      <w:pPr>
        <w:spacing w:after="0"/>
        <w:jc w:val="left"/>
        <w:rPr>
          <w:rFonts w:ascii="Arial" w:hAnsi="Arial" w:cs="Arial"/>
          <w:bCs/>
          <w:sz w:val="32"/>
          <w:szCs w:val="16"/>
        </w:rPr>
      </w:pPr>
      <w:r>
        <w:br w:type="page"/>
      </w:r>
    </w:p>
    <w:p w14:paraId="7DF8849F" w14:textId="77777777" w:rsidR="005A19AC" w:rsidRDefault="005A19AC" w:rsidP="005A19AC">
      <w:pPr>
        <w:pStyle w:val="Titel"/>
      </w:pPr>
      <w:r>
        <w:lastRenderedPageBreak/>
        <w:t>Anexos</w:t>
      </w:r>
    </w:p>
    <w:p w14:paraId="4204CF15" w14:textId="013A8F30" w:rsidR="00776219" w:rsidRDefault="008A151F" w:rsidP="00384D30">
      <w:pPr>
        <w:jc w:val="left"/>
        <w:rPr>
          <w:rFonts w:ascii="Arial" w:hAnsi="Arial" w:cs="Arial"/>
        </w:rPr>
      </w:pPr>
      <w:r>
        <w:rPr>
          <w:rFonts w:ascii="Arial" w:hAnsi="Arial"/>
        </w:rPr>
        <w:t>Modelo 1: manual de instrucciones de la balanza, hoja con escalas vacías para recortar.</w:t>
      </w:r>
    </w:p>
    <w:sectPr w:rsidR="0077621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8FB87" w14:textId="77777777" w:rsidR="00D16BFA" w:rsidRDefault="00D16BFA">
      <w:r>
        <w:separator/>
      </w:r>
    </w:p>
  </w:endnote>
  <w:endnote w:type="continuationSeparator" w:id="0">
    <w:p w14:paraId="198479AD"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CC424" w14:textId="77777777" w:rsidR="00CB4B96" w:rsidRDefault="00CB4B96">
    <w:pPr>
      <w:pStyle w:val="Fuzeile"/>
    </w:pPr>
    <w:r>
      <w:fldChar w:fldCharType="begin"/>
    </w:r>
    <w:r>
      <w:instrText>PAGE   \* MERGEFORMAT</w:instrText>
    </w:r>
    <w:r>
      <w:fldChar w:fldCharType="separate"/>
    </w:r>
    <w:r w:rsidR="00123AA0">
      <w:t>1</w:t>
    </w:r>
    <w:r w:rsidR="00123AA0">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65A36" w14:textId="77777777" w:rsidR="00CB4B96" w:rsidRDefault="00CB4B96">
    <w:pPr>
      <w:pStyle w:val="Fuzeile"/>
    </w:pPr>
    <w:r>
      <w:tab/>
    </w:r>
    <w:r>
      <w:tab/>
    </w:r>
    <w:r>
      <w:fldChar w:fldCharType="begin"/>
    </w:r>
    <w:r>
      <w:instrText>PAGE   \* MERGEFORMAT</w:instrText>
    </w:r>
    <w:r>
      <w:fldChar w:fldCharType="separate"/>
    </w:r>
    <w:r w:rsidR="00F75A53">
      <w:t>1</w:t>
    </w:r>
    <w:r w:rsidR="00F75A53">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93444" w14:textId="77777777" w:rsidR="00D16BFA" w:rsidRDefault="00D16BFA">
      <w:r>
        <w:separator/>
      </w:r>
    </w:p>
  </w:footnote>
  <w:footnote w:type="continuationSeparator" w:id="0">
    <w:p w14:paraId="56F1B278"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92CE9" w14:textId="77777777" w:rsidR="00CB4B96" w:rsidRDefault="00CB4B96" w:rsidP="00E96821">
    <w:pPr>
      <w:pStyle w:val="Kopfzeile"/>
    </w:pPr>
    <w:r>
      <w:rPr>
        <w:szCs w:val="24"/>
        <w:highlight w:val="yellow"/>
      </w:rPr>
      <w:t>EJE TEMÁTICO</w:t>
    </w:r>
    <w:r>
      <w:t xml:space="preserve"> </w:t>
    </w:r>
    <w:r>
      <w:tab/>
    </w:r>
    <w:r>
      <w:tab/>
    </w:r>
    <w:r>
      <w:rPr>
        <w:noProof/>
      </w:rPr>
      <w:drawing>
        <wp:inline distT="0" distB="0" distL="0" distR="0" wp14:anchorId="1DE01446" wp14:editId="3876847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05259" w14:textId="66BF5F0C" w:rsidR="00C0210D" w:rsidRDefault="00C0210D" w:rsidP="00741A07">
    <w:pPr>
      <w:pStyle w:val="Kopfzeile"/>
    </w:pPr>
    <w:r>
      <w:rPr>
        <w:noProof/>
      </w:rPr>
      <w:drawing>
        <wp:anchor distT="0" distB="0" distL="114300" distR="114300" simplePos="0" relativeHeight="251659264" behindDoc="1" locked="0" layoutInCell="1" allowOverlap="1" wp14:anchorId="650BEE4E" wp14:editId="17FFF8A1">
          <wp:simplePos x="0" y="0"/>
          <wp:positionH relativeFrom="column">
            <wp:posOffset>5361521</wp:posOffset>
          </wp:positionH>
          <wp:positionV relativeFrom="paragraph">
            <wp:posOffset>110418</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35C59F0E" wp14:editId="04BE39AF">
          <wp:simplePos x="0" y="0"/>
          <wp:positionH relativeFrom="margin">
            <wp:align>center</wp:align>
          </wp:positionH>
          <wp:positionV relativeFrom="paragraph">
            <wp:posOffset>-15419</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2D8E68" w14:textId="254F1AAF" w:rsidR="00CB4B96" w:rsidRDefault="00CB4B96" w:rsidP="00741A07">
    <w:pPr>
      <w:pStyle w:val="Kopfzeile"/>
    </w:pPr>
    <w:r>
      <w:t>Sistemas de transmisión – Material didáctico para la ESO y el bachillerato</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26CF"/>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151F"/>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2CA1"/>
    <w:rsid w:val="00A05207"/>
    <w:rsid w:val="00A15743"/>
    <w:rsid w:val="00A22FF6"/>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BF6734"/>
    <w:rsid w:val="00C0210D"/>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C51308"/>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uiPriority w:val="99"/>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7D65AC-424E-4D82-BF07-F65902EECDC0}"/>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297</Words>
  <Characters>1438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1732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2021-01-03T21:38:00Z</cp:lastPrinted>
  <dcterms:created xsi:type="dcterms:W3CDTF">2021-02-24T19:57:00Z</dcterms:created>
  <dcterms:modified xsi:type="dcterms:W3CDTF">2021-02-24T19:57:00Z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